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4CC" w:rsidRPr="00F93029" w:rsidRDefault="00AD24CC" w:rsidP="00F93029">
      <w:pPr>
        <w:spacing w:after="0" w:line="240" w:lineRule="auto"/>
        <w:ind w:left="6237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F93029">
        <w:rPr>
          <w:rFonts w:ascii="Times New Roman" w:eastAsia="Calibri" w:hAnsi="Times New Roman" w:cs="Times New Roman"/>
          <w:sz w:val="24"/>
          <w:szCs w:val="24"/>
        </w:rPr>
        <w:t>Приложение 2</w:t>
      </w:r>
    </w:p>
    <w:p w:rsidR="00AD24CC" w:rsidRPr="00F93029" w:rsidRDefault="00AD24CC" w:rsidP="00F93029">
      <w:pPr>
        <w:spacing w:after="0" w:line="240" w:lineRule="auto"/>
        <w:ind w:left="623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93029">
        <w:rPr>
          <w:rFonts w:ascii="Times New Roman" w:eastAsia="Calibri" w:hAnsi="Times New Roman" w:cs="Times New Roman"/>
          <w:sz w:val="24"/>
          <w:szCs w:val="24"/>
        </w:rPr>
        <w:t xml:space="preserve">к решению Думы </w:t>
      </w:r>
    </w:p>
    <w:p w:rsidR="00AD24CC" w:rsidRPr="00F93029" w:rsidRDefault="00AD24CC" w:rsidP="00F93029">
      <w:pPr>
        <w:spacing w:after="0" w:line="240" w:lineRule="auto"/>
        <w:ind w:left="623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9302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F93029">
        <w:rPr>
          <w:rFonts w:ascii="Times New Roman" w:eastAsia="Calibri" w:hAnsi="Times New Roman" w:cs="Times New Roman"/>
          <w:sz w:val="24"/>
          <w:szCs w:val="24"/>
        </w:rPr>
        <w:t>21.05.</w:t>
      </w:r>
      <w:r w:rsidRPr="00F93029">
        <w:rPr>
          <w:rFonts w:ascii="Times New Roman" w:eastAsia="Calibri" w:hAnsi="Times New Roman" w:cs="Times New Roman"/>
          <w:sz w:val="24"/>
          <w:szCs w:val="24"/>
        </w:rPr>
        <w:t>2025</w:t>
      </w:r>
      <w:r w:rsidR="00F930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3029">
        <w:rPr>
          <w:rFonts w:ascii="Times New Roman" w:eastAsia="Calibri" w:hAnsi="Times New Roman" w:cs="Times New Roman"/>
          <w:sz w:val="24"/>
          <w:szCs w:val="24"/>
        </w:rPr>
        <w:t>№ _____</w:t>
      </w:r>
    </w:p>
    <w:p w:rsidR="00EF7BC6" w:rsidRDefault="00EF7BC6" w:rsidP="00853107">
      <w:pPr>
        <w:spacing w:after="0" w:line="240" w:lineRule="auto"/>
        <w:ind w:left="4395" w:firstLine="141"/>
        <w:jc w:val="right"/>
        <w:rPr>
          <w:rFonts w:ascii="Times New Roman" w:hAnsi="Times New Roman" w:cs="Times New Roman"/>
          <w:sz w:val="28"/>
          <w:szCs w:val="28"/>
        </w:rPr>
      </w:pPr>
    </w:p>
    <w:p w:rsidR="00B423A7" w:rsidRDefault="00B423A7" w:rsidP="00007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23A7" w:rsidRDefault="00B423A7" w:rsidP="00EF7B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7BC6" w:rsidRPr="00F93029" w:rsidRDefault="00F93029" w:rsidP="00F930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029">
        <w:rPr>
          <w:rFonts w:ascii="Times New Roman" w:hAnsi="Times New Roman" w:cs="Times New Roman"/>
          <w:b/>
          <w:sz w:val="28"/>
          <w:szCs w:val="28"/>
        </w:rPr>
        <w:t>ИТОГОВЫЙ ОТЧЕТ</w:t>
      </w:r>
    </w:p>
    <w:p w:rsidR="00F93029" w:rsidRDefault="00F93029" w:rsidP="00F930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029">
        <w:rPr>
          <w:rFonts w:ascii="Times New Roman" w:hAnsi="Times New Roman" w:cs="Times New Roman"/>
          <w:b/>
          <w:sz w:val="28"/>
          <w:szCs w:val="28"/>
        </w:rPr>
        <w:t>АДМИНИСТРАЦИИ ГОРОДСКОГО ОКРУГА ТОЛЬЯТТИ О ВЫПОЛНЕНИИ ПЛАНА МЕРОПРИЯТИЙ НА 2019-2024 ГОДЫ ПО РЕАЛИЗАЦИИ СТРАТЕГИИ СОЦИАЛЬНО-ЭКОНОМИЧЕСКОГО РАЗВИТИЯ ГОРОДСКОГО ОКРУГА ТОЛЬЯТТИ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2C86" w:rsidRPr="00F93029" w:rsidRDefault="00F93029" w:rsidP="00F930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029">
        <w:rPr>
          <w:rFonts w:ascii="Times New Roman" w:hAnsi="Times New Roman" w:cs="Times New Roman"/>
          <w:b/>
          <w:sz w:val="28"/>
          <w:szCs w:val="28"/>
        </w:rPr>
        <w:t>НА ПЕРИОД ДО 2030 ГОДА, УТВЕРЖДЕННОГО РЕШЕНИЕМ ДУМЫ ГОРОДСКОГО ОКРУГА ТОЛЬЯТТИ ОТ 24.12.2019 № 445</w:t>
      </w:r>
    </w:p>
    <w:p w:rsidR="00EF7BC6" w:rsidRPr="00F93029" w:rsidRDefault="00EF7BC6" w:rsidP="00F93029">
      <w:pPr>
        <w:spacing w:after="0" w:line="240" w:lineRule="auto"/>
        <w:jc w:val="right"/>
        <w:rPr>
          <w:sz w:val="28"/>
          <w:szCs w:val="28"/>
        </w:rPr>
      </w:pPr>
    </w:p>
    <w:p w:rsidR="00EF7BC6" w:rsidRPr="00F93029" w:rsidRDefault="00EF7BC6" w:rsidP="00F93029">
      <w:pPr>
        <w:tabs>
          <w:tab w:val="left" w:pos="709"/>
        </w:tabs>
        <w:spacing w:after="0" w:line="240" w:lineRule="auto"/>
        <w:jc w:val="right"/>
        <w:rPr>
          <w:sz w:val="28"/>
          <w:szCs w:val="28"/>
        </w:rPr>
      </w:pPr>
    </w:p>
    <w:p w:rsidR="00EF7BC6" w:rsidRDefault="00F328D2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План мероприятий н</w:t>
      </w:r>
      <w:r w:rsidR="00DA3960">
        <w:rPr>
          <w:rFonts w:ascii="Times New Roman" w:hAnsi="Times New Roman" w:cs="Times New Roman"/>
          <w:sz w:val="28"/>
          <w:szCs w:val="28"/>
        </w:rPr>
        <w:t>а 2019-2024 годы по реализации с</w:t>
      </w:r>
      <w:r>
        <w:rPr>
          <w:rFonts w:ascii="Times New Roman" w:hAnsi="Times New Roman" w:cs="Times New Roman"/>
          <w:sz w:val="28"/>
          <w:szCs w:val="28"/>
        </w:rPr>
        <w:t>тратегии социально-экономического развития городского округа Тольятти на период до 2030 года, утвержденный решением Думы городского округа Тольятти от 24.12.2019 № 445</w:t>
      </w:r>
      <w:r w:rsidR="00AF4A7E">
        <w:rPr>
          <w:rFonts w:ascii="Times New Roman" w:hAnsi="Times New Roman" w:cs="Times New Roman"/>
          <w:sz w:val="28"/>
          <w:szCs w:val="28"/>
        </w:rPr>
        <w:t xml:space="preserve"> (далее – План мероприятий)</w:t>
      </w:r>
      <w:r>
        <w:rPr>
          <w:rFonts w:ascii="Times New Roman" w:hAnsi="Times New Roman" w:cs="Times New Roman"/>
          <w:sz w:val="28"/>
          <w:szCs w:val="28"/>
        </w:rPr>
        <w:t>, по периоду своего действия охватывает два этапа реализации Стратегии социально-экономического развития</w:t>
      </w:r>
      <w:r w:rsidR="00FE7CD6">
        <w:rPr>
          <w:rFonts w:ascii="Times New Roman" w:hAnsi="Times New Roman" w:cs="Times New Roman"/>
          <w:sz w:val="28"/>
          <w:szCs w:val="28"/>
        </w:rPr>
        <w:t xml:space="preserve"> городского округа Тольятти на период до 2030 года, утвержденной решением Думы городского округа Тольятти от 25.01.2019 № 131</w:t>
      </w:r>
      <w:r w:rsidR="0082225B">
        <w:rPr>
          <w:rFonts w:ascii="Times New Roman" w:hAnsi="Times New Roman" w:cs="Times New Roman"/>
          <w:sz w:val="28"/>
          <w:szCs w:val="28"/>
        </w:rPr>
        <w:t xml:space="preserve"> (далее – Стратегия</w:t>
      </w:r>
      <w:proofErr w:type="gramEnd"/>
      <w:r w:rsidR="0082225B">
        <w:rPr>
          <w:rFonts w:ascii="Times New Roman" w:hAnsi="Times New Roman" w:cs="Times New Roman"/>
          <w:sz w:val="28"/>
          <w:szCs w:val="28"/>
        </w:rPr>
        <w:t>)</w:t>
      </w:r>
      <w:r w:rsidR="00FE7CD6">
        <w:rPr>
          <w:rFonts w:ascii="Times New Roman" w:hAnsi="Times New Roman" w:cs="Times New Roman"/>
          <w:sz w:val="28"/>
          <w:szCs w:val="28"/>
        </w:rPr>
        <w:t>: первый этап (2019-2020 годы) и второй этап (2021-2024 годы).</w:t>
      </w:r>
    </w:p>
    <w:p w:rsidR="00936BB9" w:rsidRDefault="00F11120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выполнения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111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этапа</w:t>
      </w:r>
      <w:r w:rsidR="00936BB9">
        <w:rPr>
          <w:rFonts w:ascii="Times New Roman" w:hAnsi="Times New Roman" w:cs="Times New Roman"/>
          <w:sz w:val="28"/>
          <w:szCs w:val="28"/>
        </w:rPr>
        <w:t xml:space="preserve"> реализации Стратегии отражены </w:t>
      </w:r>
      <w:r w:rsidR="00BB0FCA">
        <w:rPr>
          <w:rFonts w:ascii="Times New Roman" w:hAnsi="Times New Roman" w:cs="Times New Roman"/>
          <w:sz w:val="28"/>
          <w:szCs w:val="28"/>
        </w:rPr>
        <w:t>в</w:t>
      </w:r>
      <w:r w:rsidR="00936BB9">
        <w:rPr>
          <w:rFonts w:ascii="Times New Roman" w:eastAsia="Calibri" w:hAnsi="Times New Roman" w:cs="Times New Roman"/>
          <w:sz w:val="28"/>
          <w:szCs w:val="28"/>
        </w:rPr>
        <w:t xml:space="preserve"> отчетах</w:t>
      </w:r>
      <w:r w:rsidR="00BB0FCA" w:rsidRPr="00BB0FCA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городского округа Тольятти</w:t>
      </w:r>
      <w:r w:rsidR="00936BB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B0FCA" w:rsidRPr="00F93029" w:rsidRDefault="00BB0FCA" w:rsidP="00F93029">
      <w:pPr>
        <w:pStyle w:val="a7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029">
        <w:rPr>
          <w:rFonts w:ascii="Times New Roman" w:eastAsia="Calibri" w:hAnsi="Times New Roman" w:cs="Times New Roman"/>
          <w:sz w:val="28"/>
          <w:szCs w:val="28"/>
        </w:rPr>
        <w:t xml:space="preserve"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 за 2019 год, утвержденном решением Думы городского округа Тольятти от </w:t>
      </w:r>
      <w:r w:rsidR="00497794" w:rsidRPr="00F93029">
        <w:rPr>
          <w:rFonts w:ascii="Times New Roman" w:eastAsia="Calibri" w:hAnsi="Times New Roman" w:cs="Times New Roman"/>
          <w:sz w:val="28"/>
          <w:szCs w:val="28"/>
        </w:rPr>
        <w:t>20.05.2020 № 560;</w:t>
      </w:r>
    </w:p>
    <w:p w:rsidR="00BB0FCA" w:rsidRPr="00F93029" w:rsidRDefault="00497794" w:rsidP="00F93029">
      <w:pPr>
        <w:pStyle w:val="a7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029">
        <w:rPr>
          <w:rFonts w:ascii="Times New Roman" w:eastAsia="Calibri" w:hAnsi="Times New Roman" w:cs="Times New Roman"/>
          <w:sz w:val="28"/>
          <w:szCs w:val="28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 за 2020 год, утвержденном решением Думы городского округа Тольятти от 19.05.2021 № 938.</w:t>
      </w:r>
    </w:p>
    <w:p w:rsidR="006704E0" w:rsidRDefault="00D72B27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итог</w:t>
      </w:r>
      <w:r w:rsidR="006704E0">
        <w:rPr>
          <w:rFonts w:ascii="Times New Roman" w:hAnsi="Times New Roman" w:cs="Times New Roman"/>
          <w:sz w:val="28"/>
          <w:szCs w:val="28"/>
        </w:rPr>
        <w:t xml:space="preserve">ам </w:t>
      </w:r>
      <w:r w:rsidR="0082225B">
        <w:rPr>
          <w:rFonts w:ascii="Times New Roman" w:hAnsi="Times New Roman" w:cs="Times New Roman"/>
          <w:sz w:val="28"/>
          <w:szCs w:val="28"/>
        </w:rPr>
        <w:t>завершения</w:t>
      </w:r>
      <w:r w:rsidR="006704E0">
        <w:rPr>
          <w:rFonts w:ascii="Times New Roman" w:hAnsi="Times New Roman" w:cs="Times New Roman"/>
          <w:sz w:val="28"/>
          <w:szCs w:val="28"/>
        </w:rPr>
        <w:t xml:space="preserve"> первого этапа</w:t>
      </w:r>
      <w:r w:rsidR="0082225B">
        <w:rPr>
          <w:rFonts w:ascii="Times New Roman" w:hAnsi="Times New Roman" w:cs="Times New Roman"/>
          <w:sz w:val="28"/>
          <w:szCs w:val="28"/>
        </w:rPr>
        <w:t xml:space="preserve"> реализации Стратегии</w:t>
      </w:r>
      <w:r w:rsidR="006704E0">
        <w:rPr>
          <w:rFonts w:ascii="Times New Roman" w:hAnsi="Times New Roman" w:cs="Times New Roman"/>
          <w:sz w:val="28"/>
          <w:szCs w:val="28"/>
        </w:rPr>
        <w:t xml:space="preserve"> были сформированы </w:t>
      </w:r>
      <w:r w:rsidR="006704E0" w:rsidRPr="006704E0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об уровне достижения ожидаемых результатов реализации приоритетов развития городского округа Тольятти на I этапе (2019-2020 гг.) выполнения Плана мероприятий</w:t>
      </w:r>
      <w:r w:rsidR="005B648E" w:rsidRPr="005B64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B648E" w:rsidRPr="006704E0">
        <w:rPr>
          <w:rFonts w:ascii="Times New Roman" w:eastAsia="Calibri" w:hAnsi="Times New Roman" w:cs="Times New Roman"/>
          <w:sz w:val="28"/>
          <w:szCs w:val="28"/>
          <w:lang w:eastAsia="ru-RU"/>
        </w:rPr>
        <w:t>на 2019-2024 годы</w:t>
      </w:r>
      <w:r w:rsidR="006704E0" w:rsidRPr="006704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реализации Стратегии </w:t>
      </w:r>
      <w:r w:rsidR="006704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(приложение № 2 к отчету </w:t>
      </w:r>
      <w:r w:rsidR="006704E0" w:rsidRPr="006704E0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 городского округа Тольятти о ходе выполнения План</w:t>
      </w:r>
      <w:r w:rsidR="006704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мероприятий на 2019-2024 годы </w:t>
      </w:r>
      <w:r w:rsidR="00DA3960">
        <w:rPr>
          <w:rFonts w:ascii="Times New Roman" w:eastAsia="Calibri" w:hAnsi="Times New Roman" w:cs="Times New Roman"/>
          <w:sz w:val="28"/>
          <w:szCs w:val="28"/>
          <w:lang w:eastAsia="ru-RU"/>
        </w:rPr>
        <w:t>по реализации с</w:t>
      </w:r>
      <w:r w:rsidR="006704E0" w:rsidRPr="006704E0">
        <w:rPr>
          <w:rFonts w:ascii="Times New Roman" w:eastAsia="Calibri" w:hAnsi="Times New Roman" w:cs="Times New Roman"/>
          <w:sz w:val="28"/>
          <w:szCs w:val="28"/>
          <w:lang w:eastAsia="ru-RU"/>
        </w:rPr>
        <w:t>тратегии социально-экономического развития городского округа Тольятти на</w:t>
      </w:r>
      <w:proofErr w:type="gramEnd"/>
      <w:r w:rsidR="006704E0" w:rsidRPr="006704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период до 2030 года, за 2020 год</w:t>
      </w:r>
      <w:r w:rsidR="006704E0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82225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704E0" w:rsidRDefault="00790791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D303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Оценка эффективности и результативности реализации Стратегии, проведенная</w:t>
      </w:r>
      <w:r w:rsidR="00267AA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 основе фактических значений вышеуказанных ожидаемых результатов</w:t>
      </w:r>
      <w:r w:rsidRPr="000D303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предусмотренной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Стратегией методике, показала</w:t>
      </w:r>
      <w:r w:rsidRPr="000D303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что эффективность реализации Стратегии на первом этапе с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оставила 71 %, что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соответствует</w:t>
      </w:r>
      <w:r w:rsidRPr="000D303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среднему уровню эффективности выполнения Стратегии, границ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ами которого является уровень эффективности от</w:t>
      </w:r>
      <w:r w:rsidRPr="000D303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40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%</w:t>
      </w:r>
      <w:r w:rsidRPr="000D303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до 80 %.</w:t>
      </w:r>
    </w:p>
    <w:p w:rsidR="00CD3463" w:rsidRPr="00CD3463" w:rsidRDefault="00CD3463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Реализация Плана мероприятий на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II</w:t>
      </w:r>
      <w:r w:rsidRPr="00CD346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этапе осуществлялась с учетом результатом корректировки Плана мероприятий, утвержденной решением Думы городского округа Тольятти от</w:t>
      </w:r>
      <w:r w:rsidR="0041195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08.12.2021 № 1132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195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«</w:t>
      </w:r>
      <w:r w:rsidRPr="00CD346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 корректировке Плана мероприятий на 2019-2024 годы по реализации стратегии социально-экономического развития городского округа Тольятти на период до </w:t>
      </w:r>
      <w:r w:rsidR="00F9302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</w:r>
      <w:r w:rsidRPr="00CD346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2030 года, утвержденного решением Думы городского округа Тольятти от 24.12.2019 № 445</w:t>
      </w:r>
      <w:r w:rsidR="0041195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».</w:t>
      </w:r>
      <w:proofErr w:type="gramEnd"/>
    </w:p>
    <w:p w:rsidR="00936BB9" w:rsidRDefault="00E461AE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Результаты выполнения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II</w:t>
      </w:r>
      <w:r w:rsidRPr="00E461A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этапа реализации Стратегии отражены</w:t>
      </w:r>
      <w:r w:rsidR="00936BB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3424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6BB9">
        <w:rPr>
          <w:rFonts w:ascii="Times New Roman" w:eastAsia="Calibri" w:hAnsi="Times New Roman" w:cs="Times New Roman"/>
          <w:sz w:val="28"/>
          <w:szCs w:val="28"/>
        </w:rPr>
        <w:t>отчетах</w:t>
      </w:r>
      <w:r w:rsidRPr="00BB0FCA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городского округа Тольятти</w:t>
      </w:r>
      <w:r w:rsidR="00936BB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61AE" w:rsidRPr="00F93029" w:rsidRDefault="00E461AE" w:rsidP="00F93029">
      <w:pPr>
        <w:pStyle w:val="a7"/>
        <w:numPr>
          <w:ilvl w:val="0"/>
          <w:numId w:val="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029">
        <w:rPr>
          <w:rFonts w:ascii="Times New Roman" w:eastAsia="Calibri" w:hAnsi="Times New Roman" w:cs="Times New Roman"/>
          <w:sz w:val="28"/>
          <w:szCs w:val="28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 за 2021 год, утвержденном решением Думы городского округа Тольятти</w:t>
      </w:r>
      <w:r w:rsidR="00534244" w:rsidRPr="00F93029">
        <w:rPr>
          <w:rFonts w:ascii="Times New Roman" w:eastAsia="Calibri" w:hAnsi="Times New Roman" w:cs="Times New Roman"/>
          <w:sz w:val="28"/>
          <w:szCs w:val="28"/>
        </w:rPr>
        <w:t xml:space="preserve"> от 18.05.2022 № 1285;</w:t>
      </w:r>
    </w:p>
    <w:p w:rsidR="00936BB9" w:rsidRPr="00F93029" w:rsidRDefault="00936BB9" w:rsidP="00F93029">
      <w:pPr>
        <w:pStyle w:val="a7"/>
        <w:numPr>
          <w:ilvl w:val="0"/>
          <w:numId w:val="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029">
        <w:rPr>
          <w:rFonts w:ascii="Times New Roman" w:eastAsia="Calibri" w:hAnsi="Times New Roman" w:cs="Times New Roman"/>
          <w:sz w:val="28"/>
          <w:szCs w:val="28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 за 2022 год, утвержденном решением Думы городского округа Тольятти от 07.06.2023 № 1575;</w:t>
      </w:r>
    </w:p>
    <w:p w:rsidR="00936BB9" w:rsidRPr="00F93029" w:rsidRDefault="00936BB9" w:rsidP="00F93029">
      <w:pPr>
        <w:pStyle w:val="a7"/>
        <w:numPr>
          <w:ilvl w:val="0"/>
          <w:numId w:val="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93029">
        <w:rPr>
          <w:rFonts w:ascii="Times New Roman" w:eastAsia="Calibri" w:hAnsi="Times New Roman" w:cs="Times New Roman"/>
          <w:sz w:val="28"/>
          <w:szCs w:val="28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 за 20</w:t>
      </w:r>
      <w:r w:rsidR="007878B6" w:rsidRPr="00F93029">
        <w:rPr>
          <w:rFonts w:ascii="Times New Roman" w:eastAsia="Calibri" w:hAnsi="Times New Roman" w:cs="Times New Roman"/>
          <w:sz w:val="28"/>
          <w:szCs w:val="28"/>
        </w:rPr>
        <w:t>23</w:t>
      </w:r>
      <w:r w:rsidRPr="00F93029">
        <w:rPr>
          <w:rFonts w:ascii="Times New Roman" w:eastAsia="Calibri" w:hAnsi="Times New Roman" w:cs="Times New Roman"/>
          <w:sz w:val="28"/>
          <w:szCs w:val="28"/>
        </w:rPr>
        <w:t xml:space="preserve"> год, утвержденном решением Думы городского округа Тольятти </w:t>
      </w:r>
      <w:r w:rsidR="007878B6" w:rsidRPr="00F93029">
        <w:rPr>
          <w:rFonts w:ascii="Times New Roman" w:eastAsia="Calibri" w:hAnsi="Times New Roman" w:cs="Times New Roman"/>
          <w:sz w:val="28"/>
          <w:szCs w:val="28"/>
        </w:rPr>
        <w:t>от 22.05.2024 № 211;</w:t>
      </w:r>
    </w:p>
    <w:p w:rsidR="00590AC3" w:rsidRPr="00F93029" w:rsidRDefault="00590AC3" w:rsidP="00F93029">
      <w:pPr>
        <w:pStyle w:val="a7"/>
        <w:numPr>
          <w:ilvl w:val="0"/>
          <w:numId w:val="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029">
        <w:rPr>
          <w:rFonts w:ascii="Times New Roman" w:eastAsia="Calibri" w:hAnsi="Times New Roman" w:cs="Times New Roman"/>
          <w:sz w:val="28"/>
          <w:szCs w:val="28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 за 2024 год, представленном для рассмотрения в Думу городского округа Тольятти вместе с настоящим итоговым отчетом.</w:t>
      </w:r>
    </w:p>
    <w:p w:rsidR="000505AD" w:rsidRDefault="00A43B02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43B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Расходы на реализацию мероприятий и проектов, обеспечивающих решение в </w:t>
      </w:r>
      <w:r w:rsidR="00943A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течение </w:t>
      </w:r>
      <w:proofErr w:type="gramStart"/>
      <w:r w:rsidR="00943A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срока реализации Плана мероприятий</w:t>
      </w:r>
      <w:r w:rsidRPr="00A43B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стратегических задач развития городского округа</w:t>
      </w:r>
      <w:proofErr w:type="gramEnd"/>
      <w:r w:rsidRPr="00A43B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Тольятти</w:t>
      </w:r>
      <w:r w:rsidR="000729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A43B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 счет </w:t>
      </w:r>
      <w:r w:rsidR="00B277C0" w:rsidRPr="00A43B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всех источников финан</w:t>
      </w:r>
      <w:r w:rsidR="00B277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сирования,</w:t>
      </w:r>
      <w:r w:rsidR="00B71A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349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составили более 65 500</w:t>
      </w:r>
      <w:r w:rsidR="000505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млн. руб., в том числе:</w:t>
      </w:r>
    </w:p>
    <w:p w:rsidR="000505AD" w:rsidRDefault="000505AD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 2019 год </w:t>
      </w:r>
      <w:r w:rsidR="00C01C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01C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более 14 340,0 млн. руб.</w:t>
      </w:r>
    </w:p>
    <w:p w:rsidR="00C01CEA" w:rsidRDefault="00F93029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2020 год</w:t>
      </w:r>
      <w:r w:rsidR="00C01C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более </w:t>
      </w:r>
      <w:r w:rsidR="00441A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22 000,0 млн. руб.</w:t>
      </w:r>
    </w:p>
    <w:p w:rsidR="00441ABD" w:rsidRDefault="00441ABD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2021 год – более 7</w:t>
      </w:r>
      <w:r w:rsidR="00EB17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700</w:t>
      </w:r>
      <w:r w:rsidR="00EB17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млн. руб.</w:t>
      </w:r>
    </w:p>
    <w:p w:rsidR="00441ABD" w:rsidRDefault="00441ABD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2022 год – более 21</w:t>
      </w:r>
      <w:r w:rsidR="00EB17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400</w:t>
      </w:r>
      <w:r w:rsidR="00EB17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млн. руб.</w:t>
      </w:r>
    </w:p>
    <w:p w:rsidR="00441ABD" w:rsidRDefault="00441ABD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2023 год – более 8</w:t>
      </w:r>
      <w:r w:rsidR="00EB17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600</w:t>
      </w:r>
      <w:r w:rsidR="00EB17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млн.</w:t>
      </w:r>
      <w:r w:rsidR="00DD44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руб.</w:t>
      </w:r>
    </w:p>
    <w:p w:rsidR="000505AD" w:rsidRDefault="00441ABD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2024 год – более 5</w:t>
      </w:r>
      <w:r w:rsidR="00EB17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800</w:t>
      </w:r>
      <w:r w:rsidR="00EB17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млн. руб.</w:t>
      </w:r>
    </w:p>
    <w:p w:rsidR="00DD4427" w:rsidRDefault="00DD4427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Нера</w:t>
      </w:r>
      <w:r w:rsidR="008941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вномерное распределение объемов финансирования по годам реализации Плана мероприятий вызвано, в основном,</w:t>
      </w:r>
      <w:r w:rsidR="00EF4C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вложениями в реализацию</w:t>
      </w:r>
      <w:r w:rsidR="008941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масштабных инвестиционных проектов</w:t>
      </w:r>
      <w:r w:rsidR="00EF4C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 стороны крупных промышленных предприятий городского округа Т</w:t>
      </w:r>
      <w:r w:rsidR="00EB17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ольятти.</w:t>
      </w:r>
    </w:p>
    <w:p w:rsidR="00A43B02" w:rsidRDefault="00072977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этом н</w:t>
      </w:r>
      <w:r w:rsidR="00A43B02" w:rsidRPr="00A43B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еобходим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отметить, что</w:t>
      </w:r>
      <w:r w:rsidR="00A43B02" w:rsidRPr="00A43B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данные об объемах финансирования реализации Плана мероприятий носят неполный характер, поскольку отдельными исполнителями – органами исполнительной власти </w:t>
      </w:r>
      <w:r w:rsidR="00A43B02" w:rsidRPr="00A43B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Самарской области и хозяйствующими субъектами</w:t>
      </w:r>
      <w:r w:rsidR="00A349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течение срока выполнения и мониторинга выполнения Плана мероприятий не предоставлялись</w:t>
      </w:r>
      <w:r w:rsidR="00A43B02" w:rsidRPr="00A43B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администрацию городского округа Тольятти данные о фактически освоенных объемах финансовых средств, направленных на реализацию мероприятий и проектов Плана мероприятий в отчетном периоде.</w:t>
      </w:r>
      <w:proofErr w:type="gramEnd"/>
    </w:p>
    <w:p w:rsidR="001A7D0D" w:rsidRDefault="00C80BD1" w:rsidP="00F9302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80B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Большинство мероприятий, реализованных в отчетном периоде, для которых Планом мероприятий предусмотрены количественные целевые значения показателей выполнения, исполнены на 100 % и более</w:t>
      </w:r>
      <w:r w:rsidR="001A7D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(Таблица 1)</w:t>
      </w:r>
      <w:r w:rsidRPr="00C80B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1A7D0D" w:rsidRDefault="001A7D0D" w:rsidP="00F93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80BD1" w:rsidRDefault="001A7D0D" w:rsidP="00F930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Таблица 1. Сведения об уровне выполнения мероприятий, </w:t>
      </w:r>
      <w:r w:rsidR="00C80BD1" w:rsidRPr="00C80B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включенных в План мероприятий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838"/>
        <w:gridCol w:w="1251"/>
        <w:gridCol w:w="1251"/>
        <w:gridCol w:w="1251"/>
        <w:gridCol w:w="1251"/>
        <w:gridCol w:w="1251"/>
        <w:gridCol w:w="1251"/>
      </w:tblGrid>
      <w:tr w:rsidR="001A7D0D" w:rsidTr="00F93029">
        <w:tc>
          <w:tcPr>
            <w:tcW w:w="1838" w:type="dxa"/>
          </w:tcPr>
          <w:p w:rsidR="001A7D0D" w:rsidRPr="00ED20D1" w:rsidRDefault="001A7D0D" w:rsidP="00ED20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D2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Год</w:t>
            </w:r>
          </w:p>
          <w:p w:rsidR="001A7D0D" w:rsidRPr="00ED20D1" w:rsidRDefault="001A7D0D" w:rsidP="00ED20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51" w:type="dxa"/>
          </w:tcPr>
          <w:p w:rsidR="001A7D0D" w:rsidRPr="00ED20D1" w:rsidRDefault="00ED20D1" w:rsidP="00ED20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D2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2019</w:t>
            </w:r>
          </w:p>
        </w:tc>
        <w:tc>
          <w:tcPr>
            <w:tcW w:w="1251" w:type="dxa"/>
          </w:tcPr>
          <w:p w:rsidR="001A7D0D" w:rsidRPr="00ED20D1" w:rsidRDefault="00ED20D1" w:rsidP="00ED20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D2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2020</w:t>
            </w:r>
          </w:p>
        </w:tc>
        <w:tc>
          <w:tcPr>
            <w:tcW w:w="1251" w:type="dxa"/>
          </w:tcPr>
          <w:p w:rsidR="001A7D0D" w:rsidRPr="00ED20D1" w:rsidRDefault="00ED20D1" w:rsidP="00ED20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D2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2021</w:t>
            </w:r>
          </w:p>
        </w:tc>
        <w:tc>
          <w:tcPr>
            <w:tcW w:w="1251" w:type="dxa"/>
          </w:tcPr>
          <w:p w:rsidR="001A7D0D" w:rsidRPr="00ED20D1" w:rsidRDefault="00ED20D1" w:rsidP="00ED20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D2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2022</w:t>
            </w:r>
          </w:p>
        </w:tc>
        <w:tc>
          <w:tcPr>
            <w:tcW w:w="1251" w:type="dxa"/>
          </w:tcPr>
          <w:p w:rsidR="001A7D0D" w:rsidRPr="00ED20D1" w:rsidRDefault="00ED20D1" w:rsidP="00ED20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D2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2023</w:t>
            </w:r>
          </w:p>
        </w:tc>
        <w:tc>
          <w:tcPr>
            <w:tcW w:w="1251" w:type="dxa"/>
          </w:tcPr>
          <w:p w:rsidR="001A7D0D" w:rsidRPr="00ED20D1" w:rsidRDefault="00ED20D1" w:rsidP="00ED20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D2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2024</w:t>
            </w:r>
          </w:p>
        </w:tc>
      </w:tr>
      <w:tr w:rsidR="001A7D0D" w:rsidTr="00F93029">
        <w:tc>
          <w:tcPr>
            <w:tcW w:w="1838" w:type="dxa"/>
          </w:tcPr>
          <w:p w:rsidR="001A7D0D" w:rsidRPr="00ED20D1" w:rsidRDefault="00ED20D1" w:rsidP="00ED20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D2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Всего мероприятий</w:t>
            </w:r>
          </w:p>
        </w:tc>
        <w:tc>
          <w:tcPr>
            <w:tcW w:w="1251" w:type="dxa"/>
          </w:tcPr>
          <w:p w:rsidR="001A7D0D" w:rsidRPr="00ED20D1" w:rsidRDefault="00844B88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168</w:t>
            </w:r>
          </w:p>
        </w:tc>
        <w:tc>
          <w:tcPr>
            <w:tcW w:w="1251" w:type="dxa"/>
          </w:tcPr>
          <w:p w:rsidR="001A7D0D" w:rsidRPr="00ED20D1" w:rsidRDefault="00844B88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206</w:t>
            </w:r>
          </w:p>
        </w:tc>
        <w:tc>
          <w:tcPr>
            <w:tcW w:w="1251" w:type="dxa"/>
          </w:tcPr>
          <w:p w:rsidR="001A7D0D" w:rsidRPr="00ED20D1" w:rsidRDefault="00600173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204</w:t>
            </w:r>
          </w:p>
        </w:tc>
        <w:tc>
          <w:tcPr>
            <w:tcW w:w="1251" w:type="dxa"/>
          </w:tcPr>
          <w:p w:rsidR="001A7D0D" w:rsidRPr="00ED20D1" w:rsidRDefault="00600173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210</w:t>
            </w:r>
          </w:p>
        </w:tc>
        <w:tc>
          <w:tcPr>
            <w:tcW w:w="1251" w:type="dxa"/>
          </w:tcPr>
          <w:p w:rsidR="001A7D0D" w:rsidRPr="00ED20D1" w:rsidRDefault="00600173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196</w:t>
            </w:r>
          </w:p>
        </w:tc>
        <w:tc>
          <w:tcPr>
            <w:tcW w:w="1251" w:type="dxa"/>
          </w:tcPr>
          <w:p w:rsidR="001A7D0D" w:rsidRPr="004A59F2" w:rsidRDefault="00600173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5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196</w:t>
            </w:r>
          </w:p>
        </w:tc>
      </w:tr>
      <w:tr w:rsidR="001A7D0D" w:rsidTr="00F93029">
        <w:tc>
          <w:tcPr>
            <w:tcW w:w="1838" w:type="dxa"/>
          </w:tcPr>
          <w:p w:rsidR="001A7D0D" w:rsidRPr="00ED20D1" w:rsidRDefault="00ED20D1" w:rsidP="00ED20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Выполнено</w:t>
            </w:r>
          </w:p>
        </w:tc>
        <w:tc>
          <w:tcPr>
            <w:tcW w:w="1251" w:type="dxa"/>
          </w:tcPr>
          <w:p w:rsidR="001A7D0D" w:rsidRPr="00ED20D1" w:rsidRDefault="00844B88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144</w:t>
            </w:r>
          </w:p>
        </w:tc>
        <w:tc>
          <w:tcPr>
            <w:tcW w:w="1251" w:type="dxa"/>
          </w:tcPr>
          <w:p w:rsidR="001A7D0D" w:rsidRPr="00ED20D1" w:rsidRDefault="00844B88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173</w:t>
            </w:r>
          </w:p>
        </w:tc>
        <w:tc>
          <w:tcPr>
            <w:tcW w:w="1251" w:type="dxa"/>
          </w:tcPr>
          <w:p w:rsidR="001A7D0D" w:rsidRPr="00ED20D1" w:rsidRDefault="00600173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168</w:t>
            </w:r>
          </w:p>
        </w:tc>
        <w:tc>
          <w:tcPr>
            <w:tcW w:w="1251" w:type="dxa"/>
          </w:tcPr>
          <w:p w:rsidR="001A7D0D" w:rsidRPr="00ED20D1" w:rsidRDefault="00600173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179</w:t>
            </w:r>
          </w:p>
        </w:tc>
        <w:tc>
          <w:tcPr>
            <w:tcW w:w="1251" w:type="dxa"/>
          </w:tcPr>
          <w:p w:rsidR="001A7D0D" w:rsidRPr="00ED20D1" w:rsidRDefault="00600173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165</w:t>
            </w:r>
          </w:p>
        </w:tc>
        <w:tc>
          <w:tcPr>
            <w:tcW w:w="1251" w:type="dxa"/>
          </w:tcPr>
          <w:p w:rsidR="001A7D0D" w:rsidRPr="004A59F2" w:rsidRDefault="004A59F2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5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163</w:t>
            </w:r>
          </w:p>
        </w:tc>
      </w:tr>
      <w:tr w:rsidR="001A7D0D" w:rsidTr="00F93029">
        <w:tc>
          <w:tcPr>
            <w:tcW w:w="1838" w:type="dxa"/>
          </w:tcPr>
          <w:p w:rsidR="001A7D0D" w:rsidRPr="00ED20D1" w:rsidRDefault="00ED20D1" w:rsidP="00ED20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 выполнено</w:t>
            </w:r>
          </w:p>
        </w:tc>
        <w:tc>
          <w:tcPr>
            <w:tcW w:w="1251" w:type="dxa"/>
          </w:tcPr>
          <w:p w:rsidR="001A7D0D" w:rsidRPr="00ED20D1" w:rsidRDefault="00844B88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1251" w:type="dxa"/>
          </w:tcPr>
          <w:p w:rsidR="001A7D0D" w:rsidRPr="00ED20D1" w:rsidRDefault="00844B88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1251" w:type="dxa"/>
          </w:tcPr>
          <w:p w:rsidR="001A7D0D" w:rsidRPr="00ED20D1" w:rsidRDefault="00600173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1251" w:type="dxa"/>
          </w:tcPr>
          <w:p w:rsidR="001A7D0D" w:rsidRPr="00ED20D1" w:rsidRDefault="00600173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1251" w:type="dxa"/>
          </w:tcPr>
          <w:p w:rsidR="001A7D0D" w:rsidRPr="00ED20D1" w:rsidRDefault="00600173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1251" w:type="dxa"/>
          </w:tcPr>
          <w:p w:rsidR="001A7D0D" w:rsidRPr="004A59F2" w:rsidRDefault="004A59F2" w:rsidP="004A59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5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</w:tr>
      <w:tr w:rsidR="00ED20D1" w:rsidTr="00F93029">
        <w:tc>
          <w:tcPr>
            <w:tcW w:w="1838" w:type="dxa"/>
          </w:tcPr>
          <w:p w:rsidR="00ED20D1" w:rsidRDefault="00ED20D1" w:rsidP="00ED20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Процент выполнения</w:t>
            </w:r>
          </w:p>
        </w:tc>
        <w:tc>
          <w:tcPr>
            <w:tcW w:w="1251" w:type="dxa"/>
          </w:tcPr>
          <w:p w:rsidR="00ED20D1" w:rsidRPr="00ED20D1" w:rsidRDefault="00AC4D4C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85,7 %</w:t>
            </w:r>
          </w:p>
        </w:tc>
        <w:tc>
          <w:tcPr>
            <w:tcW w:w="1251" w:type="dxa"/>
          </w:tcPr>
          <w:p w:rsidR="00ED20D1" w:rsidRPr="00ED20D1" w:rsidRDefault="00AC4D4C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84,0 %</w:t>
            </w:r>
          </w:p>
        </w:tc>
        <w:tc>
          <w:tcPr>
            <w:tcW w:w="1251" w:type="dxa"/>
          </w:tcPr>
          <w:p w:rsidR="00ED20D1" w:rsidRPr="00ED20D1" w:rsidRDefault="00AC4D4C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82,4 %</w:t>
            </w:r>
          </w:p>
        </w:tc>
        <w:tc>
          <w:tcPr>
            <w:tcW w:w="1251" w:type="dxa"/>
          </w:tcPr>
          <w:p w:rsidR="00ED20D1" w:rsidRPr="00ED20D1" w:rsidRDefault="00AA3000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85,2 %</w:t>
            </w:r>
          </w:p>
        </w:tc>
        <w:tc>
          <w:tcPr>
            <w:tcW w:w="1251" w:type="dxa"/>
          </w:tcPr>
          <w:p w:rsidR="00ED20D1" w:rsidRPr="00ED20D1" w:rsidRDefault="00AA3000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84,2 %</w:t>
            </w:r>
          </w:p>
        </w:tc>
        <w:tc>
          <w:tcPr>
            <w:tcW w:w="1251" w:type="dxa"/>
          </w:tcPr>
          <w:p w:rsidR="00ED20D1" w:rsidRPr="004A59F2" w:rsidRDefault="004A59F2" w:rsidP="00AA3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5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83,1 </w:t>
            </w:r>
            <w:r w:rsidR="00AA3000" w:rsidRPr="004A5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%</w:t>
            </w:r>
          </w:p>
        </w:tc>
      </w:tr>
    </w:tbl>
    <w:p w:rsidR="005B2A22" w:rsidRPr="00C80BD1" w:rsidRDefault="005B2A22" w:rsidP="00F930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80BD1" w:rsidRDefault="00C80BD1" w:rsidP="00F93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Pr="00C80B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роблемы реализации отдельных мероприятий и проектов вызван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 следующими основными причинами:</w:t>
      </w:r>
    </w:p>
    <w:p w:rsidR="00C80BD1" w:rsidRPr="006C0747" w:rsidRDefault="00C80BD1" w:rsidP="00F93029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C07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отсутс</w:t>
      </w:r>
      <w:r w:rsidR="008213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твием финансирования мероприятий из</w:t>
      </w:r>
      <w:r w:rsidRPr="006C07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бюджета городского округа</w:t>
      </w:r>
      <w:r w:rsidR="006C0747" w:rsidRPr="006C07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Тольятти</w:t>
      </w:r>
      <w:r w:rsidR="008213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бюджетов других уровней</w:t>
      </w:r>
      <w:r w:rsidR="006C0747" w:rsidRPr="006C07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C80BD1" w:rsidRPr="006C0747" w:rsidRDefault="00C80BD1" w:rsidP="00F93029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C07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неполным</w:t>
      </w:r>
      <w:r w:rsidR="005644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(или) некачественным</w:t>
      </w:r>
      <w:r w:rsidRPr="006C07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исполнением условий</w:t>
      </w:r>
      <w:r w:rsidR="005644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отдельных</w:t>
      </w:r>
      <w:r w:rsidRPr="006C07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муниципальных ко</w:t>
      </w:r>
      <w:r w:rsidR="006C0747" w:rsidRPr="006C07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нтрактов со стороны подрядчиков;</w:t>
      </w:r>
      <w:r w:rsidRPr="006C07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82130C" w:rsidRDefault="00C80BD1" w:rsidP="00F93029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C07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изменением планов развития предприятий и организаций, не относящихся к муниципа</w:t>
      </w:r>
      <w:r w:rsidR="005D5017" w:rsidRPr="006C07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льному сектору экономики</w:t>
      </w:r>
      <w:r w:rsidR="005819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том числе под влиянием изменений экономической ситуации, а также банкротство отдельных предприятий (АО «АКОМ»,</w:t>
      </w:r>
      <w:r w:rsidR="00624E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ОАО «</w:t>
      </w:r>
      <w:proofErr w:type="spellStart"/>
      <w:r w:rsidR="00624E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Волгоцеммаш</w:t>
      </w:r>
      <w:proofErr w:type="spellEnd"/>
      <w:r w:rsidR="00624E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»)</w:t>
      </w:r>
      <w:r w:rsidR="008213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4E65FD" w:rsidRDefault="00ED396B" w:rsidP="00F93029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D39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отсутствие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r w:rsidRPr="00ED39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доведенных до городского округа Тольятти декомпозированных показателей участия в региональных составляющих отдельных национальных проектов (НП «Международная кооперация и экс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порт», НП «Цифровая экономика»)</w:t>
      </w:r>
      <w:r w:rsidR="00C159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которые находились в основе соответствующих мероприятий при их включении в состав Плана мероприятий;</w:t>
      </w:r>
    </w:p>
    <w:p w:rsidR="00ED396B" w:rsidRPr="004E65FD" w:rsidRDefault="00ED396B" w:rsidP="00F93029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E65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непринятием государственной программы </w:t>
      </w:r>
      <w:r w:rsidR="001E5E8E" w:rsidRPr="004E65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Самарской области «Умные города Самарской области на 2019-2024 годы»</w:t>
      </w:r>
      <w:r w:rsidR="004E65FD" w:rsidRPr="004E65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5D5017" w:rsidRPr="005644BE" w:rsidRDefault="005D5017" w:rsidP="00F93029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C0747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введенны</w:t>
      </w:r>
      <w:r w:rsidR="005644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6C0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</w:t>
      </w:r>
      <w:r w:rsidR="005644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остранными государствами санкциями</w:t>
      </w:r>
      <w:r w:rsidRPr="0056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</w:t>
      </w:r>
      <w:r w:rsidR="00411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отраслей </w:t>
      </w:r>
      <w:r w:rsidRPr="005644B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 Российской Федерации, а также</w:t>
      </w:r>
      <w:r w:rsidR="00411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</w:t>
      </w:r>
      <w:r w:rsidRPr="0056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внешнеполитической ситуаци</w:t>
      </w:r>
      <w:r w:rsidR="000519FE" w:rsidRPr="005644BE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4115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2977" w:rsidRPr="006B2A46" w:rsidRDefault="00C80BD1" w:rsidP="00F93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BD1">
        <w:rPr>
          <w:rFonts w:ascii="Times New Roman" w:eastAsia="Times New Roman" w:hAnsi="Times New Roman" w:cs="Calibri"/>
          <w:sz w:val="28"/>
          <w:szCs w:val="28"/>
          <w:lang w:eastAsia="ru-RU"/>
        </w:rPr>
        <w:t>Некоторые из запланированных</w:t>
      </w:r>
      <w:r w:rsidR="005B2A22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массовых</w:t>
      </w:r>
      <w:r w:rsidRPr="00C80BD1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мероприятий</w:t>
      </w:r>
      <w:r w:rsidR="005B2A22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культурной и спортивной направленности</w:t>
      </w:r>
      <w:r w:rsidRPr="00C80BD1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не состоялись либо прошли с меньшей </w:t>
      </w:r>
      <w:r w:rsidRPr="00C80BD1">
        <w:rPr>
          <w:rFonts w:ascii="Times New Roman" w:eastAsia="Times New Roman" w:hAnsi="Times New Roman" w:cs="Calibri"/>
          <w:sz w:val="28"/>
          <w:szCs w:val="28"/>
          <w:lang w:eastAsia="ru-RU"/>
        </w:rPr>
        <w:lastRenderedPageBreak/>
        <w:t xml:space="preserve">численностью участников по причине влияния 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ограничительных мер, связанных с</w:t>
      </w:r>
      <w:r w:rsidR="005D5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пандемией</w:t>
      </w:r>
      <w:r w:rsidR="00051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новой </w:t>
      </w:r>
      <w:proofErr w:type="spellStart"/>
      <w:r w:rsidR="000519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="00051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</w:t>
      </w:r>
      <w:r w:rsidR="000519FE" w:rsidRPr="000519F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519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="000519FE" w:rsidRPr="000519FE">
        <w:rPr>
          <w:rFonts w:ascii="Times New Roman" w:eastAsia="Times New Roman" w:hAnsi="Times New Roman" w:cs="Times New Roman"/>
          <w:sz w:val="28"/>
          <w:szCs w:val="28"/>
          <w:lang w:eastAsia="ru-RU"/>
        </w:rPr>
        <w:t>-19).</w:t>
      </w:r>
    </w:p>
    <w:p w:rsidR="006B2A46" w:rsidRDefault="006B2A46" w:rsidP="00F930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D303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Оценка эффективности и результативности реализации Стратегии, проведенная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 основе фактических значений вышеуказанных ожидаемых результатов, </w:t>
      </w:r>
      <w:r w:rsidRPr="00F4009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отраженных в приложении № 2 к Отчету о ходе выполнения Плана мероприятий, за 2024 год,</w:t>
      </w:r>
      <w:r w:rsidRPr="000D303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предусмотренной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Стратегией методике, показала</w:t>
      </w:r>
      <w:r w:rsidRPr="000D303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что эффективност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ь реализации Стратегии на втором</w:t>
      </w:r>
      <w:r w:rsidRPr="000D303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этапе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составила 82 %, что соответствует высокому</w:t>
      </w:r>
      <w:r w:rsidRPr="00F4009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уровню эффективности выполнения Стратег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ии (более</w:t>
      </w:r>
      <w:r w:rsidRPr="00F4009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80 %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  <w:r w:rsidRPr="00F4009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При этом эффективность реализации Стратегии на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II</w:t>
      </w:r>
      <w:r w:rsidRPr="00F4009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этапе повысилась, по сравнению с аналогичным показателем на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I</w:t>
      </w:r>
      <w:r w:rsidRPr="00F4009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этапе, на 11 %.</w:t>
      </w:r>
    </w:p>
    <w:p w:rsidR="00B974BC" w:rsidRDefault="00B974BC" w:rsidP="00F930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Расчет эффективности</w:t>
      </w:r>
      <w:r w:rsidR="005832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результативности</w:t>
      </w:r>
      <w:r w:rsidR="005832A6" w:rsidRPr="005832A6">
        <w:t xml:space="preserve"> </w:t>
      </w:r>
      <w:r w:rsidR="005832A6" w:rsidRPr="005832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реализации Стратегии</w:t>
      </w:r>
      <w:r w:rsidR="005832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представлен в приложении к настоящему отчету.</w:t>
      </w:r>
    </w:p>
    <w:p w:rsidR="00F93029" w:rsidRDefault="00F93029" w:rsidP="00F930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93029" w:rsidRDefault="00F93029" w:rsidP="00F930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93029" w:rsidRDefault="00F93029" w:rsidP="00F930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93029" w:rsidRPr="00EF7BC6" w:rsidRDefault="00F93029" w:rsidP="00F93029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sectPr w:rsidR="00F93029" w:rsidRPr="00EF7BC6" w:rsidSect="009E1394">
      <w:headerReference w:type="default" r:id="rId8"/>
      <w:pgSz w:w="11906" w:h="16838" w:code="9"/>
      <w:pgMar w:top="1134" w:right="850" w:bottom="1134" w:left="1701" w:header="709" w:footer="709" w:gutter="0"/>
      <w:pgNumType w:start="1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029" w:rsidRDefault="00F93029" w:rsidP="00590AC3">
      <w:pPr>
        <w:spacing w:after="0" w:line="240" w:lineRule="auto"/>
      </w:pPr>
      <w:r>
        <w:separator/>
      </w:r>
    </w:p>
  </w:endnote>
  <w:endnote w:type="continuationSeparator" w:id="0">
    <w:p w:rsidR="00F93029" w:rsidRDefault="00F93029" w:rsidP="00590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029" w:rsidRDefault="00F93029" w:rsidP="00590AC3">
      <w:pPr>
        <w:spacing w:after="0" w:line="240" w:lineRule="auto"/>
      </w:pPr>
      <w:r>
        <w:separator/>
      </w:r>
    </w:p>
  </w:footnote>
  <w:footnote w:type="continuationSeparator" w:id="0">
    <w:p w:rsidR="00F93029" w:rsidRDefault="00F93029" w:rsidP="00590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29477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93029" w:rsidRPr="009E1394" w:rsidRDefault="00F93029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E139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E139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E139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E1394">
          <w:rPr>
            <w:rFonts w:ascii="Times New Roman" w:hAnsi="Times New Roman" w:cs="Times New Roman"/>
            <w:noProof/>
            <w:sz w:val="20"/>
            <w:szCs w:val="20"/>
          </w:rPr>
          <w:t>162</w:t>
        </w:r>
        <w:r w:rsidRPr="009E139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93029" w:rsidRDefault="00F9302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9039C"/>
    <w:multiLevelType w:val="hybridMultilevel"/>
    <w:tmpl w:val="71A8B284"/>
    <w:lvl w:ilvl="0" w:tplc="B0FA1B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D61D71"/>
    <w:multiLevelType w:val="hybridMultilevel"/>
    <w:tmpl w:val="414C7DE4"/>
    <w:lvl w:ilvl="0" w:tplc="C25E1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911FCE"/>
    <w:multiLevelType w:val="hybridMultilevel"/>
    <w:tmpl w:val="B69868B2"/>
    <w:lvl w:ilvl="0" w:tplc="B0FA1B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E850743"/>
    <w:multiLevelType w:val="hybridMultilevel"/>
    <w:tmpl w:val="753634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A681D5E"/>
    <w:multiLevelType w:val="hybridMultilevel"/>
    <w:tmpl w:val="C3A07D6C"/>
    <w:lvl w:ilvl="0" w:tplc="330819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BC6"/>
    <w:rsid w:val="00007686"/>
    <w:rsid w:val="000505AD"/>
    <w:rsid w:val="000519FE"/>
    <w:rsid w:val="00055E4E"/>
    <w:rsid w:val="00072977"/>
    <w:rsid w:val="00120E2A"/>
    <w:rsid w:val="001A7D0D"/>
    <w:rsid w:val="001D4728"/>
    <w:rsid w:val="001E5E8E"/>
    <w:rsid w:val="00267AA0"/>
    <w:rsid w:val="002B3BA3"/>
    <w:rsid w:val="003E48B7"/>
    <w:rsid w:val="004115F3"/>
    <w:rsid w:val="00411957"/>
    <w:rsid w:val="00433D3C"/>
    <w:rsid w:val="00441ABD"/>
    <w:rsid w:val="00497794"/>
    <w:rsid w:val="004A59F2"/>
    <w:rsid w:val="004A626E"/>
    <w:rsid w:val="004D27C6"/>
    <w:rsid w:val="004D7E72"/>
    <w:rsid w:val="004E65FD"/>
    <w:rsid w:val="004F6BA8"/>
    <w:rsid w:val="00534244"/>
    <w:rsid w:val="005644BE"/>
    <w:rsid w:val="0058195B"/>
    <w:rsid w:val="005832A6"/>
    <w:rsid w:val="00590AC3"/>
    <w:rsid w:val="005B2A22"/>
    <w:rsid w:val="005B648E"/>
    <w:rsid w:val="005D5017"/>
    <w:rsid w:val="00600173"/>
    <w:rsid w:val="00624EC1"/>
    <w:rsid w:val="006704E0"/>
    <w:rsid w:val="006B2A46"/>
    <w:rsid w:val="006C0747"/>
    <w:rsid w:val="00722C86"/>
    <w:rsid w:val="00736A49"/>
    <w:rsid w:val="007878B6"/>
    <w:rsid w:val="00790791"/>
    <w:rsid w:val="0082130C"/>
    <w:rsid w:val="0082225B"/>
    <w:rsid w:val="00844B88"/>
    <w:rsid w:val="00853107"/>
    <w:rsid w:val="00862CC9"/>
    <w:rsid w:val="0088325B"/>
    <w:rsid w:val="00883407"/>
    <w:rsid w:val="00894136"/>
    <w:rsid w:val="0092343C"/>
    <w:rsid w:val="00924049"/>
    <w:rsid w:val="00936BB9"/>
    <w:rsid w:val="00943A9C"/>
    <w:rsid w:val="009E1394"/>
    <w:rsid w:val="00A349A0"/>
    <w:rsid w:val="00A43B02"/>
    <w:rsid w:val="00AA3000"/>
    <w:rsid w:val="00AC4D4C"/>
    <w:rsid w:val="00AD24CC"/>
    <w:rsid w:val="00AF4A7E"/>
    <w:rsid w:val="00B277C0"/>
    <w:rsid w:val="00B423A7"/>
    <w:rsid w:val="00B71AE7"/>
    <w:rsid w:val="00B974BC"/>
    <w:rsid w:val="00BB0FCA"/>
    <w:rsid w:val="00BF29A1"/>
    <w:rsid w:val="00C01CEA"/>
    <w:rsid w:val="00C064CC"/>
    <w:rsid w:val="00C1594D"/>
    <w:rsid w:val="00C80BD1"/>
    <w:rsid w:val="00C916D2"/>
    <w:rsid w:val="00CD3463"/>
    <w:rsid w:val="00D56492"/>
    <w:rsid w:val="00D701C4"/>
    <w:rsid w:val="00D72B27"/>
    <w:rsid w:val="00DA3960"/>
    <w:rsid w:val="00DD4427"/>
    <w:rsid w:val="00DD7ED2"/>
    <w:rsid w:val="00E461AE"/>
    <w:rsid w:val="00EA206B"/>
    <w:rsid w:val="00EB1778"/>
    <w:rsid w:val="00ED20D1"/>
    <w:rsid w:val="00ED396B"/>
    <w:rsid w:val="00EF4C9E"/>
    <w:rsid w:val="00EF7BC6"/>
    <w:rsid w:val="00F11120"/>
    <w:rsid w:val="00F27054"/>
    <w:rsid w:val="00F328D2"/>
    <w:rsid w:val="00F40091"/>
    <w:rsid w:val="00F711FA"/>
    <w:rsid w:val="00F93029"/>
    <w:rsid w:val="00FE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AC3"/>
  </w:style>
  <w:style w:type="paragraph" w:styleId="a5">
    <w:name w:val="footer"/>
    <w:basedOn w:val="a"/>
    <w:link w:val="a6"/>
    <w:uiPriority w:val="99"/>
    <w:unhideWhenUsed/>
    <w:rsid w:val="00590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AC3"/>
  </w:style>
  <w:style w:type="paragraph" w:styleId="a7">
    <w:name w:val="List Paragraph"/>
    <w:basedOn w:val="a"/>
    <w:uiPriority w:val="34"/>
    <w:qFormat/>
    <w:rsid w:val="006C0747"/>
    <w:pPr>
      <w:ind w:left="720"/>
      <w:contextualSpacing/>
    </w:pPr>
  </w:style>
  <w:style w:type="table" w:styleId="a8">
    <w:name w:val="Table Grid"/>
    <w:basedOn w:val="a1"/>
    <w:uiPriority w:val="39"/>
    <w:rsid w:val="001A7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55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5E4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AC3"/>
  </w:style>
  <w:style w:type="paragraph" w:styleId="a5">
    <w:name w:val="footer"/>
    <w:basedOn w:val="a"/>
    <w:link w:val="a6"/>
    <w:uiPriority w:val="99"/>
    <w:unhideWhenUsed/>
    <w:rsid w:val="00590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AC3"/>
  </w:style>
  <w:style w:type="paragraph" w:styleId="a7">
    <w:name w:val="List Paragraph"/>
    <w:basedOn w:val="a"/>
    <w:uiPriority w:val="34"/>
    <w:qFormat/>
    <w:rsid w:val="006C0747"/>
    <w:pPr>
      <w:ind w:left="720"/>
      <w:contextualSpacing/>
    </w:pPr>
  </w:style>
  <w:style w:type="table" w:styleId="a8">
    <w:name w:val="Table Grid"/>
    <w:basedOn w:val="a1"/>
    <w:uiPriority w:val="39"/>
    <w:rsid w:val="001A7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55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5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Константинович Дмитрий Александрович</dc:creator>
  <cp:lastModifiedBy>Людмила В. Александрович</cp:lastModifiedBy>
  <cp:revision>4</cp:revision>
  <cp:lastPrinted>2025-05-22T10:28:00Z</cp:lastPrinted>
  <dcterms:created xsi:type="dcterms:W3CDTF">2025-04-03T10:17:00Z</dcterms:created>
  <dcterms:modified xsi:type="dcterms:W3CDTF">2025-05-22T10:29:00Z</dcterms:modified>
</cp:coreProperties>
</file>